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4" w:firstLineChars="100"/>
        <w:rPr>
          <w:rFonts w:asciiTheme="minorEastAsia" w:hAnsiTheme="minorEastAsia"/>
          <w:color w:val="0D0D0D"/>
          <w:spacing w:val="2"/>
          <w:sz w:val="28"/>
          <w:szCs w:val="28"/>
        </w:rPr>
      </w:pPr>
      <w:r>
        <w:rPr>
          <w:rFonts w:hint="eastAsia" w:asciiTheme="minorEastAsia" w:hAnsiTheme="minorEastAsia"/>
          <w:color w:val="0D0D0D"/>
          <w:spacing w:val="2"/>
          <w:sz w:val="28"/>
          <w:szCs w:val="28"/>
        </w:rPr>
        <w:t>附件：</w:t>
      </w:r>
      <w:r>
        <w:rPr>
          <w:rFonts w:asciiTheme="minorEastAsia" w:hAnsiTheme="minorEastAsia"/>
          <w:color w:val="0D0D0D"/>
          <w:spacing w:val="2"/>
          <w:sz w:val="28"/>
          <w:szCs w:val="28"/>
        </w:rPr>
        <w:t>公示</w:t>
      </w:r>
      <w:r>
        <w:rPr>
          <w:rFonts w:hint="eastAsia" w:asciiTheme="minorEastAsia" w:hAnsiTheme="minorEastAsia"/>
          <w:color w:val="0D0D0D"/>
          <w:spacing w:val="2"/>
          <w:sz w:val="28"/>
          <w:szCs w:val="28"/>
        </w:rPr>
        <w:t>内容（应包括如下方面）</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一、推荐中华医学科技奖医学科学技术奖、卫生管理奖、医学科学技术普及奖、</w:t>
      </w:r>
      <w:r>
        <w:rPr>
          <w:rFonts w:asciiTheme="minorEastAsia" w:hAnsiTheme="minorEastAsia"/>
          <w:color w:val="0D0D0D"/>
          <w:spacing w:val="2"/>
          <w:sz w:val="28"/>
          <w:szCs w:val="28"/>
        </w:rPr>
        <w:t>青年</w:t>
      </w:r>
      <w:r>
        <w:rPr>
          <w:rFonts w:hint="eastAsia" w:asciiTheme="minorEastAsia" w:hAnsiTheme="minorEastAsia"/>
          <w:color w:val="0D0D0D"/>
          <w:spacing w:val="2"/>
          <w:sz w:val="28"/>
          <w:szCs w:val="28"/>
        </w:rPr>
        <w:t>科技奖候选项目：</w:t>
      </w:r>
    </w:p>
    <w:p>
      <w:pPr>
        <w:spacing w:line="360" w:lineRule="auto"/>
        <w:ind w:firstLine="570" w:firstLineChars="200"/>
        <w:rPr>
          <w:rFonts w:eastAsia="宋体" w:asciiTheme="minorEastAsia" w:hAnsiTheme="minorEastAsia"/>
          <w:color w:val="0D0D0D"/>
          <w:spacing w:val="2"/>
          <w:sz w:val="28"/>
          <w:szCs w:val="28"/>
        </w:rPr>
      </w:pPr>
      <w:r>
        <w:rPr>
          <w:rFonts w:hint="eastAsia" w:asciiTheme="minorEastAsia" w:hAnsiTheme="minorEastAsia"/>
          <w:b/>
          <w:bCs/>
          <w:color w:val="0D0D0D"/>
          <w:spacing w:val="2"/>
          <w:sz w:val="28"/>
          <w:szCs w:val="28"/>
        </w:rPr>
        <w:t>1.推荐奖种：</w:t>
      </w:r>
      <w:r>
        <w:rPr>
          <w:rFonts w:hint="eastAsia" w:asciiTheme="minorEastAsia" w:hAnsiTheme="minorEastAsia"/>
          <w:color w:val="0D0D0D"/>
          <w:spacing w:val="2"/>
          <w:sz w:val="28"/>
          <w:szCs w:val="28"/>
        </w:rPr>
        <w:t>医学科学技术奖</w:t>
      </w:r>
    </w:p>
    <w:p>
      <w:pPr>
        <w:spacing w:line="360" w:lineRule="auto"/>
        <w:ind w:firstLine="570" w:firstLineChars="200"/>
        <w:rPr>
          <w:rFonts w:eastAsia="宋体" w:asciiTheme="minorEastAsia" w:hAnsiTheme="minorEastAsia"/>
          <w:color w:val="0D0D0D"/>
          <w:spacing w:val="2"/>
          <w:sz w:val="28"/>
          <w:szCs w:val="28"/>
        </w:rPr>
      </w:pPr>
      <w:r>
        <w:rPr>
          <w:rFonts w:hint="eastAsia" w:asciiTheme="minorEastAsia" w:hAnsiTheme="minorEastAsia"/>
          <w:b/>
          <w:bCs/>
          <w:color w:val="0D0D0D"/>
          <w:spacing w:val="2"/>
          <w:sz w:val="28"/>
          <w:szCs w:val="28"/>
        </w:rPr>
        <w:t>2.项目名称：</w:t>
      </w:r>
      <w:r>
        <w:rPr>
          <w:rFonts w:hint="eastAsia" w:asciiTheme="minorEastAsia" w:hAnsiTheme="minorEastAsia"/>
          <w:color w:val="0D0D0D"/>
          <w:spacing w:val="2"/>
          <w:sz w:val="28"/>
          <w:szCs w:val="28"/>
        </w:rPr>
        <w:t>代表性农药所致脂质代谢异常的机制和干预</w:t>
      </w:r>
    </w:p>
    <w:p>
      <w:pPr>
        <w:spacing w:line="360" w:lineRule="auto"/>
        <w:ind w:firstLine="570" w:firstLineChars="200"/>
        <w:rPr>
          <w:rFonts w:asciiTheme="minorEastAsia" w:hAnsiTheme="minorEastAsia"/>
          <w:color w:val="0D0D0D"/>
          <w:spacing w:val="2"/>
          <w:sz w:val="28"/>
          <w:szCs w:val="28"/>
        </w:rPr>
      </w:pPr>
      <w:r>
        <w:rPr>
          <w:rFonts w:hint="eastAsia" w:asciiTheme="minorEastAsia" w:hAnsiTheme="minorEastAsia"/>
          <w:b/>
          <w:bCs/>
          <w:color w:val="0D0D0D"/>
          <w:spacing w:val="2"/>
          <w:sz w:val="28"/>
          <w:szCs w:val="28"/>
        </w:rPr>
        <w:t>3.推荐单位：</w:t>
      </w:r>
      <w:r>
        <w:rPr>
          <w:rFonts w:hint="eastAsia" w:asciiTheme="minorEastAsia" w:hAnsiTheme="minorEastAsia"/>
          <w:color w:val="0D0D0D"/>
          <w:spacing w:val="2"/>
          <w:sz w:val="28"/>
          <w:szCs w:val="28"/>
        </w:rPr>
        <w:t>江苏省医学会</w:t>
      </w:r>
    </w:p>
    <w:p>
      <w:pPr>
        <w:spacing w:line="360" w:lineRule="auto"/>
        <w:ind w:firstLine="570" w:firstLineChars="200"/>
        <w:rPr>
          <w:rFonts w:asciiTheme="minorEastAsia" w:hAnsiTheme="minorEastAsia"/>
          <w:b/>
          <w:bCs/>
          <w:color w:val="0D0D0D"/>
          <w:spacing w:val="2"/>
          <w:sz w:val="28"/>
          <w:szCs w:val="28"/>
        </w:rPr>
      </w:pPr>
      <w:r>
        <w:rPr>
          <w:rFonts w:hint="eastAsia" w:asciiTheme="minorEastAsia" w:hAnsiTheme="minorEastAsia"/>
          <w:b/>
          <w:bCs/>
          <w:color w:val="0D0D0D"/>
          <w:spacing w:val="2"/>
          <w:sz w:val="28"/>
          <w:szCs w:val="28"/>
        </w:rPr>
        <w:t>4.推荐意见：</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本项目首次揭示了体内微量的有机氯农药所致脂质代谢紊乱的机制，主要是通过干扰肝脏脂肪酸代谢（包括促进脂肪酸的合成、抑制降解作用）和致胆固醇代谢紊乱（包括胆固醇的合成、摄取、分泌等）以及干扰胆汁酸肠肝循环等毒性通路产生。本研究对于临床脂质代谢异常的病因学溯源，亦具有重要参考价值。</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项目负责人顾爱华教授，是生殖医学国家重点实验室课题组长，也是南京医科大学重点培养的学科带头人，入选国家高层次人才计划、国家优青、教育部青年长江、担任中国毒理学会青年委员会副主任委员。已发表通讯/第一作者SCI 论文55篇。组建了一支具有活力的青年人才队伍，形成了良好的团队氛围和人才梯队。由于候选团队具备良好的基础、充足的潜力、饱满的工作热情，强烈推荐中华医学科技奖。</w:t>
      </w:r>
    </w:p>
    <w:p>
      <w:pPr>
        <w:spacing w:line="360" w:lineRule="auto"/>
        <w:ind w:firstLine="570" w:firstLineChars="200"/>
        <w:rPr>
          <w:rFonts w:asciiTheme="minorEastAsia" w:hAnsiTheme="minorEastAsia"/>
          <w:b/>
          <w:bCs/>
          <w:color w:val="0D0D0D"/>
          <w:spacing w:val="2"/>
          <w:sz w:val="28"/>
          <w:szCs w:val="28"/>
        </w:rPr>
      </w:pPr>
      <w:r>
        <w:rPr>
          <w:rFonts w:hint="eastAsia" w:asciiTheme="minorEastAsia" w:hAnsiTheme="minorEastAsia"/>
          <w:b/>
          <w:bCs/>
          <w:color w:val="0D0D0D"/>
          <w:spacing w:val="2"/>
          <w:sz w:val="28"/>
          <w:szCs w:val="28"/>
        </w:rPr>
        <w:t>5.项目简介：</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中国是农业大国，农药的生产、使用和出口均为世界第一。其中，持久性有机污染物（Persistent Organic Pollutants, POPs）在环境中降解缓慢，可经食物链富集作用在人体内蓄积，其人群健康危害受到持续关注。但我国在有毒有害物质鉴别评估及风险监管技术层面相对薄弱，低剂量持久性有机农药暴露的精准毒理学机制和干预策略尚不完善。我们的工作，基于江苏等典型地区人群脂肪组织内农药蓄积的宝贵资料，描述人体脂肪组织内 68 种农药的内暴露水平概貌，并对其健康风险提出警示。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我们研究显示：虽然有机氯农药（简称 OCPs）目前已经禁用，但在人体内（脂肪和血浆中）仍有较高内暴露水平。在体脂的蓄积好比人体内一个微量释放有机氯农药“泵”，在相当长时间内存在隐匿持续性的毒性效应。</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我们系统评估 12 种有机氯农药在人体内暴露水平（体脂及血浆），发现其与脂质代谢异常密切相关。进而结合动物染毒实验，通过靶向代谢组学、宏基因组学等技术，首次揭示了体内微量的有机氯农药所致脂质代谢紊乱的机制，主要是通过干扰肝脏脂肪酸代谢（包括促进脂肪酸的合成、抑制降解作用）和致胆固醇代谢紊乱（包括胆固醇的合成、摄取、分泌等）以及干扰胆汁酸肠肝循环等毒性通路产生。本研究对于临床脂质代谢异常的病因学溯源，亦具有重要参考价值。</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基于已发现的有机氯农药所致肝内脂质代谢异常的机制，我们针对毒性通路和靶点，寻找潜在的干预策略，发现盐酸小檗碱（Berberine,BBR）可作为有效的候选干预药物。BBR可通过调节自噬流缓解胆固醇超载导致的肝细胞自噬流阻滞，改善肝脏细胞的内质网应激等。</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综上所述，我们通过系统筛检江苏及周边地区人群的体脂中农药蓄积概貌，评估发现有机氯农药内暴露水平增加与脂质代谢异常相关，进而系统解析其影响脂肪酸代谢、胆固醇代谢、 胆汁酸代谢的毒理学机制和关键靶点，并提出有效的干预策略。相关数据形成环保部报告 1 份；发表中英文论文 8 篇；获国家发明专利 3 项并转化开发，主编《高度关注物质（SVHC）毒性手册》（中国环境出版集团）；相关应用研究获得江苏省创新创业大赛二等奖。</w:t>
      </w:r>
    </w:p>
    <w:p>
      <w:pPr>
        <w:spacing w:line="360" w:lineRule="auto"/>
        <w:ind w:firstLine="568" w:firstLineChars="200"/>
        <w:rPr>
          <w:rFonts w:eastAsia="宋体" w:asciiTheme="minorEastAsia" w:hAnsiTheme="minorEastAsia"/>
          <w:color w:val="0D0D0D"/>
          <w:spacing w:val="2"/>
          <w:sz w:val="28"/>
          <w:szCs w:val="28"/>
        </w:rPr>
      </w:pPr>
    </w:p>
    <w:p>
      <w:pPr>
        <w:spacing w:line="360" w:lineRule="auto"/>
        <w:ind w:firstLine="570" w:firstLineChars="200"/>
        <w:rPr>
          <w:rFonts w:asciiTheme="minorEastAsia" w:hAnsiTheme="minorEastAsia"/>
          <w:b/>
          <w:bCs/>
          <w:color w:val="0D0D0D"/>
          <w:spacing w:val="2"/>
          <w:sz w:val="28"/>
          <w:szCs w:val="28"/>
        </w:rPr>
      </w:pPr>
      <w:r>
        <w:rPr>
          <w:rFonts w:hint="eastAsia" w:asciiTheme="minorEastAsia" w:hAnsiTheme="minorEastAsia"/>
          <w:b/>
          <w:bCs/>
          <w:color w:val="0D0D0D"/>
          <w:spacing w:val="2"/>
          <w:sz w:val="28"/>
          <w:szCs w:val="28"/>
        </w:rPr>
        <w:t>6.知识产权证明目录：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222"/>
        <w:gridCol w:w="1404"/>
        <w:gridCol w:w="3314"/>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Theme="minorEastAsia" w:hAnsiTheme="minorEastAsia"/>
                <w:color w:val="0D0D0D"/>
                <w:spacing w:val="2"/>
                <w:sz w:val="18"/>
                <w:szCs w:val="18"/>
              </w:rPr>
            </w:pPr>
            <w:r>
              <w:rPr>
                <w:rFonts w:hint="eastAsia" w:cs="仿宋" w:asciiTheme="minorEastAsia" w:hAnsiTheme="minorEastAsia"/>
                <w:spacing w:val="13"/>
                <w:sz w:val="18"/>
                <w:szCs w:val="18"/>
              </w:rPr>
              <w:t>类</w:t>
            </w:r>
            <w:r>
              <w:rPr>
                <w:rFonts w:hint="eastAsia" w:cs="仿宋" w:asciiTheme="minorEastAsia" w:hAnsiTheme="minorEastAsia"/>
                <w:sz w:val="18"/>
                <w:szCs w:val="18"/>
              </w:rPr>
              <w:t>别</w:t>
            </w:r>
          </w:p>
        </w:tc>
        <w:tc>
          <w:tcPr>
            <w:tcW w:w="0" w:type="auto"/>
          </w:tcPr>
          <w:p>
            <w:pPr>
              <w:spacing w:line="360" w:lineRule="auto"/>
              <w:rPr>
                <w:rFonts w:asciiTheme="minorEastAsia" w:hAnsiTheme="minorEastAsia"/>
                <w:color w:val="0D0D0D"/>
                <w:spacing w:val="2"/>
                <w:sz w:val="18"/>
                <w:szCs w:val="18"/>
              </w:rPr>
            </w:pPr>
            <w:r>
              <w:rPr>
                <w:rFonts w:hint="eastAsia" w:cs="仿宋" w:asciiTheme="minorEastAsia" w:hAnsiTheme="minorEastAsia"/>
                <w:spacing w:val="13"/>
                <w:sz w:val="18"/>
                <w:szCs w:val="18"/>
              </w:rPr>
              <w:t>授权</w:t>
            </w:r>
            <w:r>
              <w:rPr>
                <w:rFonts w:hint="eastAsia" w:cs="仿宋" w:asciiTheme="minorEastAsia" w:hAnsiTheme="minorEastAsia"/>
                <w:sz w:val="18"/>
                <w:szCs w:val="18"/>
              </w:rPr>
              <w:t>号</w:t>
            </w:r>
          </w:p>
        </w:tc>
        <w:tc>
          <w:tcPr>
            <w:tcW w:w="0" w:type="auto"/>
          </w:tcPr>
          <w:p>
            <w:pPr>
              <w:spacing w:line="360" w:lineRule="auto"/>
              <w:rPr>
                <w:rFonts w:asciiTheme="minorEastAsia" w:hAnsiTheme="minorEastAsia"/>
                <w:color w:val="0D0D0D"/>
                <w:spacing w:val="2"/>
                <w:sz w:val="18"/>
                <w:szCs w:val="18"/>
              </w:rPr>
            </w:pPr>
            <w:r>
              <w:rPr>
                <w:rFonts w:hint="eastAsia" w:cs="仿宋" w:asciiTheme="minorEastAsia" w:hAnsiTheme="minorEastAsia"/>
                <w:sz w:val="18"/>
                <w:szCs w:val="18"/>
              </w:rPr>
              <w:t>授</w:t>
            </w:r>
            <w:r>
              <w:rPr>
                <w:rFonts w:cs="仿宋" w:asciiTheme="minorEastAsia" w:hAnsiTheme="minorEastAsia"/>
                <w:spacing w:val="-47"/>
                <w:sz w:val="18"/>
                <w:szCs w:val="18"/>
              </w:rPr>
              <w:t xml:space="preserve"> </w:t>
            </w:r>
            <w:r>
              <w:rPr>
                <w:rFonts w:hint="eastAsia" w:cs="仿宋" w:asciiTheme="minorEastAsia" w:hAnsiTheme="minorEastAsia"/>
                <w:sz w:val="18"/>
                <w:szCs w:val="18"/>
              </w:rPr>
              <w:t>权</w:t>
            </w:r>
            <w:r>
              <w:rPr>
                <w:rFonts w:cs="仿宋" w:asciiTheme="minorEastAsia" w:hAnsiTheme="minorEastAsia"/>
                <w:sz w:val="18"/>
                <w:szCs w:val="18"/>
              </w:rPr>
              <w:t xml:space="preserve"> </w:t>
            </w:r>
            <w:r>
              <w:rPr>
                <w:rFonts w:hint="eastAsia" w:cs="仿宋" w:asciiTheme="minorEastAsia" w:hAnsiTheme="minorEastAsia"/>
                <w:sz w:val="18"/>
                <w:szCs w:val="18"/>
              </w:rPr>
              <w:t>时</w:t>
            </w:r>
            <w:r>
              <w:rPr>
                <w:rFonts w:cs="仿宋" w:asciiTheme="minorEastAsia" w:hAnsiTheme="minorEastAsia"/>
                <w:spacing w:val="-47"/>
                <w:sz w:val="18"/>
                <w:szCs w:val="18"/>
              </w:rPr>
              <w:t xml:space="preserve"> </w:t>
            </w:r>
            <w:r>
              <w:rPr>
                <w:rFonts w:hint="eastAsia" w:cs="仿宋" w:asciiTheme="minorEastAsia" w:hAnsiTheme="minorEastAsia"/>
                <w:sz w:val="18"/>
                <w:szCs w:val="18"/>
              </w:rPr>
              <w:t>间</w:t>
            </w:r>
          </w:p>
        </w:tc>
        <w:tc>
          <w:tcPr>
            <w:tcW w:w="0" w:type="auto"/>
          </w:tcPr>
          <w:p>
            <w:pPr>
              <w:spacing w:line="360" w:lineRule="auto"/>
              <w:rPr>
                <w:rFonts w:asciiTheme="minorEastAsia" w:hAnsiTheme="minorEastAsia"/>
                <w:color w:val="0D0D0D"/>
                <w:spacing w:val="2"/>
                <w:sz w:val="18"/>
                <w:szCs w:val="18"/>
              </w:rPr>
            </w:pPr>
            <w:r>
              <w:rPr>
                <w:rFonts w:hint="eastAsia" w:cs="仿宋" w:asciiTheme="minorEastAsia" w:hAnsiTheme="minorEastAsia"/>
                <w:spacing w:val="13"/>
                <w:sz w:val="18"/>
                <w:szCs w:val="18"/>
              </w:rPr>
              <w:t>知识产权</w:t>
            </w:r>
            <w:r>
              <w:rPr>
                <w:rFonts w:hint="eastAsia" w:cs="仿宋" w:asciiTheme="minorEastAsia" w:hAnsiTheme="minorEastAsia"/>
                <w:sz w:val="18"/>
                <w:szCs w:val="18"/>
              </w:rPr>
              <w:t>具</w:t>
            </w:r>
            <w:r>
              <w:rPr>
                <w:rFonts w:hint="eastAsia" w:cs="仿宋" w:asciiTheme="minorEastAsia" w:hAnsiTheme="minorEastAsia"/>
                <w:spacing w:val="13"/>
                <w:sz w:val="18"/>
                <w:szCs w:val="18"/>
              </w:rPr>
              <w:t>体名</w:t>
            </w:r>
            <w:r>
              <w:rPr>
                <w:rFonts w:hint="eastAsia" w:cs="仿宋" w:asciiTheme="minorEastAsia" w:hAnsiTheme="minorEastAsia"/>
                <w:sz w:val="18"/>
                <w:szCs w:val="18"/>
              </w:rPr>
              <w:t>称</w:t>
            </w:r>
          </w:p>
        </w:tc>
        <w:tc>
          <w:tcPr>
            <w:tcW w:w="0" w:type="auto"/>
          </w:tcPr>
          <w:p>
            <w:pPr>
              <w:spacing w:line="360" w:lineRule="auto"/>
              <w:rPr>
                <w:rFonts w:asciiTheme="minorEastAsia" w:hAnsiTheme="minorEastAsia"/>
                <w:color w:val="0D0D0D"/>
                <w:spacing w:val="2"/>
                <w:szCs w:val="21"/>
              </w:rPr>
            </w:pPr>
            <w:r>
              <w:rPr>
                <w:rFonts w:hint="eastAsia" w:cs="仿宋" w:asciiTheme="minorEastAsia" w:hAnsiTheme="minorEastAsia"/>
                <w:spacing w:val="13"/>
                <w:szCs w:val="21"/>
              </w:rPr>
              <w:t>发明</w:t>
            </w:r>
            <w:r>
              <w:rPr>
                <w:rFonts w:hint="eastAsia" w:cs="仿宋" w:asciiTheme="minorEastAsia" w:hAnsiTheme="minor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发明专利</w:t>
            </w:r>
          </w:p>
        </w:tc>
        <w:tc>
          <w:tcPr>
            <w:tcW w:w="0" w:type="auto"/>
          </w:tcPr>
          <w:p>
            <w:pPr>
              <w:pStyle w:val="17"/>
              <w:kinsoku w:val="0"/>
              <w:overflowPunct w:val="0"/>
              <w:spacing w:line="312" w:lineRule="exact"/>
              <w:ind w:left="132" w:right="139" w:firstLine="504"/>
              <w:jc w:val="center"/>
              <w:rPr>
                <w:rFonts w:cs="楷体" w:asciiTheme="minorEastAsia" w:hAnsiTheme="minorEastAsia"/>
                <w:sz w:val="18"/>
                <w:szCs w:val="18"/>
              </w:rPr>
            </w:pPr>
            <w:r>
              <w:rPr>
                <w:rFonts w:cs="楷体" w:asciiTheme="minorEastAsia" w:hAnsiTheme="minorEastAsia"/>
                <w:spacing w:val="6"/>
                <w:sz w:val="18"/>
                <w:szCs w:val="18"/>
              </w:rPr>
              <w:t>Z</w:t>
            </w:r>
            <w:r>
              <w:rPr>
                <w:rFonts w:cs="楷体" w:asciiTheme="minorEastAsia" w:hAnsiTheme="minorEastAsia"/>
                <w:sz w:val="18"/>
                <w:szCs w:val="18"/>
              </w:rPr>
              <w:t xml:space="preserve">L </w:t>
            </w:r>
            <w:r>
              <w:rPr>
                <w:rFonts w:cs="楷体" w:asciiTheme="minorEastAsia" w:hAnsiTheme="minorEastAsia"/>
                <w:spacing w:val="6"/>
                <w:sz w:val="18"/>
                <w:szCs w:val="18"/>
              </w:rPr>
              <w:t>20111014</w:t>
            </w:r>
            <w:r>
              <w:rPr>
                <w:rFonts w:cs="楷体" w:asciiTheme="minorEastAsia" w:hAnsiTheme="minorEastAsia"/>
                <w:sz w:val="18"/>
                <w:szCs w:val="18"/>
              </w:rPr>
              <w:t>4</w:t>
            </w:r>
            <w:r>
              <w:rPr>
                <w:rFonts w:cs="楷体" w:asciiTheme="minorEastAsia" w:hAnsiTheme="minorEastAsia"/>
                <w:spacing w:val="6"/>
                <w:sz w:val="18"/>
                <w:szCs w:val="18"/>
              </w:rPr>
              <w:t>503.</w:t>
            </w:r>
            <w:r>
              <w:rPr>
                <w:rFonts w:cs="楷体" w:asciiTheme="minorEastAsia" w:hAnsiTheme="minorEastAsia"/>
                <w:sz w:val="18"/>
                <w:szCs w:val="18"/>
              </w:rPr>
              <w:t>2</w:t>
            </w:r>
          </w:p>
        </w:tc>
        <w:tc>
          <w:tcPr>
            <w:tcW w:w="0" w:type="auto"/>
          </w:tcPr>
          <w:p>
            <w:pPr>
              <w:pStyle w:val="17"/>
              <w:kinsoku w:val="0"/>
              <w:overflowPunct w:val="0"/>
              <w:ind w:left="117" w:right="123"/>
              <w:rPr>
                <w:rFonts w:asciiTheme="minorEastAsia" w:hAnsiTheme="minorEastAsia"/>
                <w:color w:val="0D0D0D"/>
                <w:spacing w:val="2"/>
                <w:sz w:val="18"/>
                <w:szCs w:val="18"/>
              </w:rPr>
            </w:pPr>
            <w:r>
              <w:rPr>
                <w:rFonts w:cs="楷体" w:asciiTheme="minorEastAsia" w:hAnsiTheme="minorEastAsia"/>
                <w:spacing w:val="6"/>
                <w:sz w:val="18"/>
                <w:szCs w:val="18"/>
              </w:rPr>
              <w:t>2013-05-</w:t>
            </w:r>
            <w:r>
              <w:rPr>
                <w:rFonts w:cs="楷体" w:asciiTheme="minorEastAsia" w:hAnsiTheme="minorEastAsia"/>
                <w:sz w:val="18"/>
                <w:szCs w:val="18"/>
              </w:rPr>
              <w:t>22</w:t>
            </w:r>
          </w:p>
        </w:tc>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利用锌指核酶技术培育斑马鱼的方法及其在建 立药物筛选模型中的应用</w:t>
            </w:r>
          </w:p>
        </w:tc>
        <w:tc>
          <w:tcPr>
            <w:tcW w:w="0" w:type="auto"/>
          </w:tcPr>
          <w:p>
            <w:pPr>
              <w:spacing w:line="360" w:lineRule="auto"/>
              <w:rPr>
                <w:rFonts w:asciiTheme="minorEastAsia" w:hAnsiTheme="minorEastAsia"/>
                <w:color w:val="0D0D0D"/>
                <w:spacing w:val="2"/>
                <w:szCs w:val="21"/>
              </w:rPr>
            </w:pPr>
            <w:r>
              <w:rPr>
                <w:rFonts w:hint="eastAsia" w:cs="仿宋" w:asciiTheme="minorEastAsia" w:hAnsiTheme="minorEastAsia"/>
                <w:spacing w:val="13"/>
                <w:szCs w:val="21"/>
              </w:rPr>
              <w:t>顾爱华，</w:t>
            </w:r>
            <w:r>
              <w:rPr>
                <w:rFonts w:hint="eastAsia" w:cs="仿宋" w:asciiTheme="minorEastAsia" w:hAnsiTheme="minorEastAsia"/>
                <w:szCs w:val="21"/>
              </w:rPr>
              <w:t>周勇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发明专利</w:t>
            </w:r>
          </w:p>
        </w:tc>
        <w:tc>
          <w:tcPr>
            <w:tcW w:w="0" w:type="auto"/>
          </w:tcPr>
          <w:p>
            <w:pPr>
              <w:spacing w:line="360" w:lineRule="auto"/>
              <w:rPr>
                <w:rFonts w:asciiTheme="minorEastAsia" w:hAnsiTheme="minorEastAsia"/>
                <w:color w:val="0D0D0D"/>
                <w:spacing w:val="2"/>
                <w:sz w:val="18"/>
                <w:szCs w:val="18"/>
              </w:rPr>
            </w:pPr>
            <w:r>
              <w:rPr>
                <w:rFonts w:asciiTheme="minorEastAsia" w:hAnsiTheme="minorEastAsia"/>
                <w:color w:val="0D0D0D"/>
                <w:spacing w:val="2"/>
                <w:sz w:val="18"/>
                <w:szCs w:val="18"/>
              </w:rPr>
              <w:t>ZL 201610942234.7</w:t>
            </w:r>
          </w:p>
        </w:tc>
        <w:tc>
          <w:tcPr>
            <w:tcW w:w="0" w:type="auto"/>
          </w:tcPr>
          <w:p>
            <w:pPr>
              <w:spacing w:line="360" w:lineRule="auto"/>
              <w:rPr>
                <w:rFonts w:asciiTheme="minorEastAsia" w:hAnsiTheme="minorEastAsia"/>
                <w:color w:val="0D0D0D"/>
                <w:spacing w:val="2"/>
                <w:sz w:val="18"/>
                <w:szCs w:val="18"/>
              </w:rPr>
            </w:pPr>
            <w:r>
              <w:rPr>
                <w:rFonts w:asciiTheme="minorEastAsia" w:hAnsiTheme="minorEastAsia"/>
                <w:color w:val="0D0D0D"/>
                <w:spacing w:val="2"/>
                <w:sz w:val="18"/>
                <w:szCs w:val="18"/>
              </w:rPr>
              <w:t>2019-05-14</w:t>
            </w:r>
          </w:p>
        </w:tc>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一种与胆石症相关的血浆代谢小分子标志物及其应用制造技术</w:t>
            </w:r>
          </w:p>
        </w:tc>
        <w:tc>
          <w:tcPr>
            <w:tcW w:w="0" w:type="auto"/>
          </w:tcPr>
          <w:p>
            <w:pPr>
              <w:spacing w:line="360" w:lineRule="auto"/>
              <w:rPr>
                <w:rFonts w:asciiTheme="minorEastAsia" w:hAnsiTheme="minorEastAsia"/>
                <w:color w:val="0D0D0D"/>
                <w:spacing w:val="2"/>
                <w:szCs w:val="21"/>
              </w:rPr>
            </w:pPr>
            <w:r>
              <w:rPr>
                <w:rFonts w:hint="eastAsia" w:asciiTheme="minorEastAsia" w:hAnsiTheme="minorEastAsia"/>
                <w:color w:val="0D0D0D"/>
                <w:spacing w:val="2"/>
                <w:szCs w:val="21"/>
              </w:rPr>
              <w:t>顾爱华，蒋兆彦，徐诚，刘倩，郭文慧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发明专利</w:t>
            </w:r>
          </w:p>
        </w:tc>
        <w:tc>
          <w:tcPr>
            <w:tcW w:w="0" w:type="auto"/>
          </w:tcPr>
          <w:p>
            <w:pPr>
              <w:spacing w:line="360" w:lineRule="auto"/>
              <w:rPr>
                <w:rFonts w:asciiTheme="minorEastAsia" w:hAnsiTheme="minorEastAsia"/>
                <w:color w:val="0D0D0D"/>
                <w:spacing w:val="2"/>
                <w:sz w:val="18"/>
                <w:szCs w:val="18"/>
              </w:rPr>
            </w:pPr>
            <w:r>
              <w:rPr>
                <w:rFonts w:asciiTheme="minorEastAsia" w:hAnsiTheme="minorEastAsia"/>
                <w:color w:val="0D0D0D"/>
                <w:spacing w:val="2"/>
                <w:sz w:val="18"/>
                <w:szCs w:val="18"/>
              </w:rPr>
              <w:t>ZL 201110141405.3</w:t>
            </w:r>
          </w:p>
        </w:tc>
        <w:tc>
          <w:tcPr>
            <w:tcW w:w="0" w:type="auto"/>
          </w:tcPr>
          <w:p>
            <w:pPr>
              <w:spacing w:line="360" w:lineRule="auto"/>
              <w:rPr>
                <w:rFonts w:asciiTheme="minorEastAsia" w:hAnsiTheme="minorEastAsia"/>
                <w:color w:val="0D0D0D"/>
                <w:spacing w:val="2"/>
                <w:sz w:val="18"/>
                <w:szCs w:val="18"/>
              </w:rPr>
            </w:pPr>
            <w:r>
              <w:rPr>
                <w:rFonts w:asciiTheme="minorEastAsia" w:hAnsiTheme="minorEastAsia"/>
                <w:color w:val="0D0D0D"/>
                <w:spacing w:val="2"/>
                <w:sz w:val="18"/>
                <w:szCs w:val="18"/>
              </w:rPr>
              <w:t>2013-05-01</w:t>
            </w:r>
          </w:p>
        </w:tc>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一种使用人工染色体重组技术培育心血管系统荧光转换斑马鱼的方法</w:t>
            </w:r>
          </w:p>
        </w:tc>
        <w:tc>
          <w:tcPr>
            <w:tcW w:w="0" w:type="auto"/>
          </w:tcPr>
          <w:p>
            <w:pPr>
              <w:spacing w:line="360" w:lineRule="auto"/>
              <w:rPr>
                <w:rFonts w:asciiTheme="minorEastAsia" w:hAnsiTheme="minorEastAsia"/>
                <w:color w:val="0D0D0D"/>
                <w:spacing w:val="2"/>
                <w:szCs w:val="21"/>
              </w:rPr>
            </w:pPr>
            <w:r>
              <w:rPr>
                <w:rFonts w:hint="eastAsia" w:asciiTheme="minorEastAsia" w:hAnsiTheme="minorEastAsia"/>
                <w:color w:val="0D0D0D"/>
                <w:spacing w:val="2"/>
                <w:szCs w:val="21"/>
              </w:rPr>
              <w:t>周勇，顾爱华，吉贵祥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发明专利</w:t>
            </w:r>
          </w:p>
        </w:tc>
        <w:tc>
          <w:tcPr>
            <w:tcW w:w="0" w:type="auto"/>
          </w:tcPr>
          <w:p>
            <w:pPr>
              <w:spacing w:line="360" w:lineRule="auto"/>
              <w:rPr>
                <w:rFonts w:asciiTheme="minorEastAsia" w:hAnsiTheme="minorEastAsia"/>
                <w:color w:val="0D0D0D"/>
                <w:spacing w:val="2"/>
                <w:sz w:val="18"/>
                <w:szCs w:val="18"/>
              </w:rPr>
            </w:pPr>
            <w:r>
              <w:rPr>
                <w:rFonts w:asciiTheme="minorEastAsia" w:hAnsiTheme="minorEastAsia"/>
                <w:color w:val="0D0D0D"/>
                <w:spacing w:val="2"/>
                <w:sz w:val="18"/>
                <w:szCs w:val="18"/>
              </w:rPr>
              <w:t>ZL 201410105958.7</w:t>
            </w:r>
          </w:p>
        </w:tc>
        <w:tc>
          <w:tcPr>
            <w:tcW w:w="0" w:type="auto"/>
          </w:tcPr>
          <w:p>
            <w:pPr>
              <w:spacing w:line="360" w:lineRule="auto"/>
              <w:rPr>
                <w:rFonts w:asciiTheme="minorEastAsia" w:hAnsiTheme="minorEastAsia"/>
                <w:color w:val="0D0D0D"/>
                <w:spacing w:val="2"/>
                <w:sz w:val="18"/>
                <w:szCs w:val="18"/>
              </w:rPr>
            </w:pPr>
            <w:r>
              <w:rPr>
                <w:rFonts w:asciiTheme="minorEastAsia" w:hAnsiTheme="minorEastAsia"/>
                <w:color w:val="0D0D0D"/>
                <w:spacing w:val="2"/>
                <w:sz w:val="18"/>
                <w:szCs w:val="18"/>
              </w:rPr>
              <w:t>2017-01-25</w:t>
            </w:r>
          </w:p>
        </w:tc>
        <w:tc>
          <w:tcPr>
            <w:tcW w:w="0" w:type="auto"/>
          </w:tcPr>
          <w:p>
            <w:pPr>
              <w:spacing w:line="360" w:lineRule="auto"/>
              <w:rPr>
                <w:rFonts w:asciiTheme="minorEastAsia" w:hAnsiTheme="minorEastAsia"/>
                <w:color w:val="0D0D0D"/>
                <w:spacing w:val="2"/>
                <w:sz w:val="18"/>
                <w:szCs w:val="18"/>
              </w:rPr>
            </w:pPr>
            <w:r>
              <w:rPr>
                <w:rFonts w:hint="eastAsia" w:asciiTheme="minorEastAsia" w:hAnsiTheme="minorEastAsia"/>
                <w:color w:val="0D0D0D"/>
                <w:spacing w:val="2"/>
                <w:sz w:val="18"/>
                <w:szCs w:val="18"/>
              </w:rPr>
              <w:t>一种检测环境中多环芳烃化学物的质粒及应用</w:t>
            </w:r>
          </w:p>
        </w:tc>
        <w:tc>
          <w:tcPr>
            <w:tcW w:w="0" w:type="auto"/>
          </w:tcPr>
          <w:p>
            <w:pPr>
              <w:spacing w:line="360" w:lineRule="auto"/>
              <w:rPr>
                <w:rFonts w:asciiTheme="minorEastAsia" w:hAnsiTheme="minorEastAsia"/>
                <w:color w:val="0D0D0D"/>
                <w:spacing w:val="2"/>
                <w:szCs w:val="21"/>
              </w:rPr>
            </w:pPr>
            <w:r>
              <w:rPr>
                <w:rFonts w:hint="eastAsia" w:asciiTheme="minorEastAsia" w:hAnsiTheme="minorEastAsia"/>
                <w:color w:val="0D0D0D"/>
                <w:spacing w:val="2"/>
                <w:szCs w:val="21"/>
              </w:rPr>
              <w:t>顾爱华，严丽锋，吉贵祥，赵鹏</w:t>
            </w:r>
          </w:p>
        </w:tc>
      </w:tr>
    </w:tbl>
    <w:p>
      <w:pPr>
        <w:spacing w:line="360" w:lineRule="auto"/>
        <w:rPr>
          <w:rFonts w:eastAsia="宋体" w:asciiTheme="minorEastAsia" w:hAnsiTheme="minorEastAsia"/>
          <w:color w:val="0D0D0D"/>
          <w:spacing w:val="2"/>
          <w:sz w:val="28"/>
          <w:szCs w:val="28"/>
        </w:rPr>
      </w:pPr>
    </w:p>
    <w:p>
      <w:pPr>
        <w:spacing w:line="360" w:lineRule="auto"/>
        <w:ind w:firstLine="570" w:firstLineChars="200"/>
        <w:rPr>
          <w:rFonts w:asciiTheme="minorEastAsia" w:hAnsiTheme="minorEastAsia"/>
          <w:b/>
          <w:bCs/>
          <w:color w:val="0D0D0D"/>
          <w:spacing w:val="2"/>
          <w:sz w:val="28"/>
          <w:szCs w:val="28"/>
        </w:rPr>
      </w:pPr>
      <w:r>
        <w:rPr>
          <w:rFonts w:hint="eastAsia" w:asciiTheme="minorEastAsia" w:hAnsiTheme="minorEastAsia"/>
          <w:b/>
          <w:bCs/>
          <w:color w:val="0D0D0D"/>
          <w:spacing w:val="2"/>
          <w:sz w:val="28"/>
          <w:szCs w:val="28"/>
        </w:rPr>
        <w:t>7.代表性论文目录：</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1）</w:t>
      </w:r>
      <w:r>
        <w:rPr>
          <w:rFonts w:ascii="Times New Roman" w:hAnsi="Times New Roman" w:cs="Times New Roman"/>
          <w:color w:val="0D0D0D"/>
          <w:spacing w:val="2"/>
          <w:sz w:val="28"/>
          <w:szCs w:val="28"/>
        </w:rPr>
        <w:t xml:space="preserve"> Berberine ameliorates blockade of autophagic flux in the liver by regulating cholesterol metabolism and inhibiting COX2-prostaglandin synthesis. 2018. </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2）</w:t>
      </w:r>
      <w:r>
        <w:rPr>
          <w:rFonts w:ascii="Times New Roman" w:hAnsi="Times New Roman" w:cs="Times New Roman"/>
          <w:color w:val="0D0D0D"/>
          <w:spacing w:val="2"/>
          <w:sz w:val="28"/>
          <w:szCs w:val="28"/>
        </w:rPr>
        <w:t xml:space="preserve"> Organochloride pesticides modulated gut microbiota and influenced bile acid metabolism in mice. 2017. </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3）</w:t>
      </w:r>
      <w:r>
        <w:rPr>
          <w:rFonts w:ascii="Times New Roman" w:hAnsi="Times New Roman" w:cs="Times New Roman"/>
          <w:color w:val="0D0D0D"/>
          <w:spacing w:val="2"/>
          <w:sz w:val="28"/>
          <w:szCs w:val="28"/>
        </w:rPr>
        <w:t xml:space="preserve"> Effects of non-occupational environmental exposure to pyrethroids on semen quality and sperm DNA integrity in Chinese men. 2011. </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4）</w:t>
      </w:r>
      <w:r>
        <w:rPr>
          <w:rFonts w:ascii="Times New Roman" w:hAnsi="Times New Roman" w:cs="Times New Roman"/>
          <w:color w:val="0D0D0D"/>
          <w:spacing w:val="2"/>
          <w:sz w:val="28"/>
          <w:szCs w:val="28"/>
        </w:rPr>
        <w:t xml:space="preserve"> Developmental toxicity of cypermethrin in embryo-larval stages of zebrafish. 2011. </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5）</w:t>
      </w:r>
      <w:r>
        <w:rPr>
          <w:rFonts w:ascii="Times New Roman" w:hAnsi="Times New Roman" w:cs="Times New Roman"/>
          <w:color w:val="0D0D0D"/>
          <w:spacing w:val="2"/>
          <w:sz w:val="28"/>
          <w:szCs w:val="28"/>
        </w:rPr>
        <w:t xml:space="preserve">Exposure to fenvalerate causes brain impairment during zebrafish development. 2010. </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6）</w:t>
      </w:r>
      <w:r>
        <w:rPr>
          <w:rFonts w:ascii="Times New Roman" w:hAnsi="Times New Roman" w:cs="Times New Roman"/>
          <w:color w:val="0D0D0D"/>
          <w:spacing w:val="2"/>
          <w:sz w:val="28"/>
          <w:szCs w:val="28"/>
        </w:rPr>
        <w:t xml:space="preserve">FMO3 and its metabolite TMAO contribute to the formation of gallstones. 2019. </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7）</w:t>
      </w:r>
      <w:r>
        <w:rPr>
          <w:rFonts w:ascii="Times New Roman" w:hAnsi="Times New Roman" w:cs="Times New Roman"/>
          <w:color w:val="0D0D0D"/>
          <w:spacing w:val="2"/>
          <w:sz w:val="28"/>
          <w:szCs w:val="28"/>
        </w:rPr>
        <w:t xml:space="preserve">Estrogen receptor beta mediates hepatotoxicity induced by perfluorooctane sulfonate in mouse. Environ Sci Pollut Res Int. 2017 May;24(15):13414-13423. </w:t>
      </w:r>
    </w:p>
    <w:p>
      <w:pPr>
        <w:spacing w:line="360" w:lineRule="auto"/>
        <w:ind w:firstLine="568" w:firstLineChars="200"/>
        <w:rPr>
          <w:rFonts w:ascii="Times New Roman" w:hAnsi="Times New Roman" w:cs="Times New Roman"/>
          <w:color w:val="0D0D0D"/>
          <w:spacing w:val="2"/>
          <w:sz w:val="28"/>
          <w:szCs w:val="28"/>
        </w:rPr>
      </w:pPr>
      <w:r>
        <w:rPr>
          <w:rFonts w:hint="eastAsia" w:ascii="Times New Roman" w:hAnsi="Times New Roman" w:cs="Times New Roman"/>
          <w:color w:val="0D0D0D"/>
          <w:spacing w:val="2"/>
          <w:sz w:val="28"/>
          <w:szCs w:val="28"/>
        </w:rPr>
        <w:t>8）</w:t>
      </w:r>
      <w:r>
        <w:rPr>
          <w:rFonts w:ascii="Times New Roman" w:hAnsi="Times New Roman" w:cs="Times New Roman"/>
          <w:color w:val="0D0D0D"/>
          <w:spacing w:val="2"/>
          <w:sz w:val="28"/>
          <w:szCs w:val="28"/>
        </w:rPr>
        <w:t>盐酸小檗碱缓解高胆固醇所致肝脏损伤的机制体外及动物实验研究。诊断学理论与实践。</w:t>
      </w:r>
      <w:r>
        <w:rPr>
          <w:rFonts w:hint="eastAsia" w:ascii="Times New Roman" w:hAnsi="Times New Roman" w:cs="Times New Roman"/>
          <w:color w:val="0D0D0D"/>
          <w:spacing w:val="2"/>
          <w:sz w:val="28"/>
          <w:szCs w:val="28"/>
        </w:rPr>
        <w:t>2018，</w:t>
      </w:r>
      <w:r>
        <w:rPr>
          <w:rFonts w:ascii="Times New Roman" w:hAnsi="Times New Roman" w:cs="Times New Roman"/>
          <w:color w:val="0D0D0D"/>
          <w:spacing w:val="2"/>
          <w:sz w:val="28"/>
          <w:szCs w:val="28"/>
        </w:rPr>
        <w:t>3, 311-317.</w:t>
      </w:r>
    </w:p>
    <w:p>
      <w:pPr>
        <w:spacing w:line="360" w:lineRule="auto"/>
        <w:ind w:firstLine="568" w:firstLineChars="200"/>
        <w:rPr>
          <w:rFonts w:eastAsia="宋体" w:asciiTheme="minorEastAsia" w:hAnsiTheme="minorEastAsia"/>
          <w:color w:val="0D0D0D"/>
          <w:spacing w:val="2"/>
          <w:sz w:val="28"/>
          <w:szCs w:val="28"/>
        </w:rPr>
      </w:pPr>
    </w:p>
    <w:p>
      <w:pPr>
        <w:spacing w:line="360" w:lineRule="auto"/>
        <w:ind w:firstLine="570" w:firstLineChars="200"/>
        <w:rPr>
          <w:rFonts w:asciiTheme="minorEastAsia" w:hAnsiTheme="minorEastAsia"/>
          <w:b/>
          <w:bCs/>
          <w:color w:val="0D0D0D"/>
          <w:spacing w:val="2"/>
          <w:sz w:val="28"/>
          <w:szCs w:val="28"/>
        </w:rPr>
      </w:pPr>
      <w:r>
        <w:rPr>
          <w:rFonts w:hint="eastAsia" w:asciiTheme="minorEastAsia" w:hAnsiTheme="minorEastAsia"/>
          <w:b/>
          <w:bCs/>
          <w:color w:val="0D0D0D"/>
          <w:spacing w:val="2"/>
          <w:sz w:val="28"/>
          <w:szCs w:val="28"/>
        </w:rPr>
        <w:t>8.完成人情况，包括姓名、排名、职称、行政职务、工作单位、对本项目的贡献</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1）顾爱华，第一完成人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职称：教授；行政职务：科技处处长；工作单位：南京医科大学；对本项目的贡献：负责本项目的研究设计和实施，是一篇著作的主编；是 5 篇代表性论文的通讯作者，1篇代表性论文第一作者，1 篇代表性论文的共同第一作者；在 4 件发明专利中，其中 3件是第一发明人，1 件是第二发明人；是代表性国家和部委的重大项目的负责人。</w:t>
      </w:r>
    </w:p>
    <w:p>
      <w:pPr>
        <w:spacing w:line="360" w:lineRule="auto"/>
        <w:ind w:firstLine="568" w:firstLineChars="200"/>
        <w:rPr>
          <w:rFonts w:asciiTheme="minorEastAsia" w:hAnsiTheme="minorEastAsia"/>
          <w:color w:val="0D0D0D"/>
          <w:spacing w:val="2"/>
          <w:sz w:val="28"/>
          <w:szCs w:val="28"/>
        </w:rPr>
      </w:pP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2）蒋兆彦，第二完成人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职称：研究员；行政职务：无；工作单位：上海市东方医院；对本项目的贡献：负责本项目的研究实施；是 3 篇代表性论文的通讯作者，1 篇代表性论文的共同第一作者，1 篇代表性论文的一般性作者；在 4 件发明专利中，其中 1 件是第二发明人。</w:t>
      </w:r>
    </w:p>
    <w:p>
      <w:pPr>
        <w:spacing w:line="360" w:lineRule="auto"/>
        <w:rPr>
          <w:rFonts w:hint="eastAsia" w:asciiTheme="minorEastAsia" w:hAnsiTheme="minorEastAsia"/>
          <w:color w:val="0D0D0D"/>
          <w:spacing w:val="2"/>
          <w:sz w:val="28"/>
          <w:szCs w:val="28"/>
        </w:rPr>
      </w:pP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3）徐诚，第三完成人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职称：副教授；行政职务：无；工作单位：南京医科大学；对本项目的贡献：负责本项目的部分内容的研究设计和实施，1 篇著作中为副主编；在 8 篇代表性论文中，其中 1 篇为第一作者，1 篇为一般性参与。</w:t>
      </w:r>
    </w:p>
    <w:p>
      <w:pPr>
        <w:spacing w:line="360" w:lineRule="auto"/>
        <w:ind w:firstLine="568" w:firstLineChars="200"/>
        <w:rPr>
          <w:rFonts w:asciiTheme="minorEastAsia" w:hAnsiTheme="minorEastAsia"/>
          <w:color w:val="0D0D0D"/>
          <w:spacing w:val="2"/>
          <w:sz w:val="28"/>
          <w:szCs w:val="28"/>
        </w:rPr>
      </w:pP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4）刘倩，第四完成人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职称：讲师；行政职务：无；工作单位：南京医科大学；对本项目的贡献：负责本项目的部分内容的研究设计和实施，在著作中是编委；在 8 篇代表性论文中， 其中 1 篇为第一作者，3 篇为一般性参与。</w:t>
      </w:r>
    </w:p>
    <w:p>
      <w:pPr>
        <w:spacing w:line="360" w:lineRule="auto"/>
        <w:ind w:firstLine="568" w:firstLineChars="200"/>
        <w:rPr>
          <w:rFonts w:asciiTheme="minorEastAsia" w:hAnsiTheme="minorEastAsia"/>
          <w:color w:val="0D0D0D"/>
          <w:spacing w:val="2"/>
          <w:sz w:val="28"/>
          <w:szCs w:val="28"/>
        </w:rPr>
      </w:pP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5）徐进，第五完成人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职称：副教授；行政职务：无；工作单位：南京医科大学；对本项目的贡献：负责本项目的部分内容的研究设计和实施，在著作中为副主编；在 8 篇代表性论文 中，1 篇为一般性参与。</w:t>
      </w:r>
    </w:p>
    <w:p>
      <w:pPr>
        <w:spacing w:line="360" w:lineRule="auto"/>
        <w:rPr>
          <w:rFonts w:hint="eastAsia" w:asciiTheme="minorEastAsia" w:hAnsiTheme="minorEastAsia"/>
          <w:color w:val="0D0D0D"/>
          <w:spacing w:val="2"/>
          <w:sz w:val="28"/>
          <w:szCs w:val="28"/>
        </w:rPr>
      </w:pP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6）吉贵祥，第六完成人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职称：副研究员；行政职务：无；工作单位：生态环境部南京环境科学研究所；对本项目的贡献：负责本项目的部分内容的研究设计和实施，在 1 部著作中为副主编；在 8 篇代表性文中，其中 1 篇为第一作者，1 篇为一般性参与；在 4 件发明专利中，其中 1 件是第三发明人。</w:t>
      </w:r>
    </w:p>
    <w:p>
      <w:pPr>
        <w:spacing w:line="360" w:lineRule="auto"/>
        <w:ind w:firstLine="568" w:firstLineChars="200"/>
        <w:rPr>
          <w:rFonts w:asciiTheme="minorEastAsia" w:hAnsiTheme="minorEastAsia"/>
          <w:color w:val="0D0D0D"/>
          <w:spacing w:val="2"/>
          <w:sz w:val="28"/>
          <w:szCs w:val="28"/>
        </w:rPr>
      </w:pP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7）邵文涛，第七完成人</w:t>
      </w: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职称：实习研究员；行政职务：无；工作单位：上海市东方医院；对本项目的贡献：负责研究内容的实施，其中 8 篇代表性论文中，1 篇 1 作，3 篇一般性作者。</w:t>
      </w:r>
    </w:p>
    <w:p>
      <w:pPr>
        <w:spacing w:line="360" w:lineRule="auto"/>
        <w:rPr>
          <w:rFonts w:asciiTheme="minorEastAsia" w:hAnsiTheme="minorEastAsia"/>
          <w:color w:val="0D0D0D"/>
          <w:spacing w:val="2"/>
          <w:sz w:val="28"/>
          <w:szCs w:val="28"/>
        </w:rPr>
      </w:pPr>
    </w:p>
    <w:p>
      <w:pPr>
        <w:spacing w:line="360" w:lineRule="auto"/>
        <w:ind w:firstLine="568" w:firstLineChars="200"/>
        <w:rPr>
          <w:rFonts w:asciiTheme="minorEastAsia" w:hAnsiTheme="minorEastAsia"/>
          <w:color w:val="0D0D0D"/>
          <w:spacing w:val="2"/>
          <w:sz w:val="28"/>
          <w:szCs w:val="28"/>
        </w:rPr>
      </w:pPr>
      <w:r>
        <w:rPr>
          <w:rFonts w:hint="eastAsia" w:asciiTheme="minorEastAsia" w:hAnsiTheme="minorEastAsia"/>
          <w:color w:val="0D0D0D"/>
          <w:spacing w:val="2"/>
          <w:sz w:val="28"/>
          <w:szCs w:val="28"/>
        </w:rPr>
        <w:t>9.完成单位情况，包括单位名称、排名，对本项目的贡献</w:t>
      </w:r>
    </w:p>
    <w:p>
      <w:pPr>
        <w:spacing w:line="360" w:lineRule="auto"/>
        <w:ind w:firstLine="570" w:firstLineChars="200"/>
        <w:rPr>
          <w:rFonts w:asciiTheme="minorEastAsia" w:hAnsiTheme="minorEastAsia"/>
          <w:b/>
          <w:color w:val="0D0D0D"/>
          <w:spacing w:val="2"/>
          <w:sz w:val="28"/>
          <w:szCs w:val="28"/>
        </w:rPr>
      </w:pPr>
      <w:r>
        <w:rPr>
          <w:rFonts w:hint="eastAsia" w:asciiTheme="minorEastAsia" w:hAnsiTheme="minorEastAsia"/>
          <w:b/>
          <w:color w:val="0D0D0D"/>
          <w:spacing w:val="2"/>
          <w:sz w:val="28"/>
          <w:szCs w:val="28"/>
        </w:rPr>
        <w:t>1）南京医科大学，排名1</w:t>
      </w:r>
    </w:p>
    <w:p>
      <w:pPr>
        <w:spacing w:line="360" w:lineRule="auto"/>
        <w:ind w:firstLine="568" w:firstLineChars="200"/>
        <w:rPr>
          <w:rFonts w:asciiTheme="minorEastAsia" w:hAnsiTheme="minorEastAsia"/>
          <w:b/>
          <w:color w:val="0D0D0D"/>
          <w:spacing w:val="2"/>
          <w:sz w:val="28"/>
          <w:szCs w:val="28"/>
        </w:rPr>
      </w:pPr>
      <w:r>
        <w:rPr>
          <w:rFonts w:hint="eastAsia" w:asciiTheme="minorEastAsia" w:hAnsiTheme="minorEastAsia"/>
          <w:color w:val="0D0D0D"/>
          <w:spacing w:val="2"/>
          <w:sz w:val="28"/>
          <w:szCs w:val="28"/>
        </w:rPr>
        <w:t>对本项目的贡献：南京医科大学作为本项目的主要完成单位，对本项目的实施给予了大力支持，在实验室人才队伍建设、配套的仪器设备、实验室用房、国内外合作交流等方面提供了保障，并提供仪器设备购置和研究的配套经费和运行经费，确保了项目的正常进行， 本单位是项目所列 10 篇代表性论文的通讯作者所在单位和项目所列 3 件发明专利的专利权人。</w:t>
      </w:r>
    </w:p>
    <w:p>
      <w:pPr>
        <w:spacing w:line="360" w:lineRule="auto"/>
        <w:ind w:firstLine="570" w:firstLineChars="200"/>
        <w:rPr>
          <w:rFonts w:asciiTheme="minorEastAsia" w:hAnsiTheme="minorEastAsia"/>
          <w:b/>
          <w:color w:val="0D0D0D"/>
          <w:spacing w:val="2"/>
          <w:sz w:val="28"/>
          <w:szCs w:val="28"/>
        </w:rPr>
      </w:pPr>
      <w:r>
        <w:rPr>
          <w:rFonts w:hint="eastAsia" w:asciiTheme="minorEastAsia" w:hAnsiTheme="minorEastAsia"/>
          <w:b/>
          <w:color w:val="0D0D0D"/>
          <w:spacing w:val="2"/>
          <w:sz w:val="28"/>
          <w:szCs w:val="28"/>
        </w:rPr>
        <w:t>2</w:t>
      </w:r>
      <w:r>
        <w:rPr>
          <w:rFonts w:asciiTheme="minorEastAsia" w:hAnsiTheme="minorEastAsia"/>
          <w:b/>
          <w:color w:val="0D0D0D"/>
          <w:spacing w:val="2"/>
          <w:sz w:val="28"/>
          <w:szCs w:val="28"/>
        </w:rPr>
        <w:t xml:space="preserve">) </w:t>
      </w:r>
      <w:r>
        <w:rPr>
          <w:rFonts w:hint="eastAsia" w:asciiTheme="minorEastAsia" w:hAnsiTheme="minorEastAsia"/>
          <w:b/>
          <w:color w:val="0D0D0D"/>
          <w:spacing w:val="2"/>
          <w:sz w:val="28"/>
          <w:szCs w:val="28"/>
        </w:rPr>
        <w:t>上海市东方医院，排名2</w:t>
      </w:r>
    </w:p>
    <w:p>
      <w:pPr>
        <w:spacing w:line="360" w:lineRule="auto"/>
        <w:ind w:firstLine="568" w:firstLineChars="200"/>
        <w:rPr>
          <w:rFonts w:asciiTheme="minorEastAsia" w:hAnsiTheme="minorEastAsia"/>
          <w:b/>
          <w:color w:val="0D0D0D"/>
          <w:spacing w:val="2"/>
          <w:sz w:val="28"/>
          <w:szCs w:val="28"/>
        </w:rPr>
      </w:pPr>
      <w:r>
        <w:rPr>
          <w:rFonts w:hint="eastAsia" w:asciiTheme="minorEastAsia" w:hAnsiTheme="minorEastAsia"/>
          <w:color w:val="0D0D0D"/>
          <w:spacing w:val="2"/>
          <w:sz w:val="28"/>
          <w:szCs w:val="28"/>
        </w:rPr>
        <w:t>对本项目的贡献：在项目创新点 2 和 3 中，项目参与人参与的相关科学研究中有创新贡献。</w:t>
      </w:r>
    </w:p>
    <w:p>
      <w:pPr>
        <w:spacing w:line="360" w:lineRule="auto"/>
        <w:ind w:firstLine="570" w:firstLineChars="200"/>
        <w:rPr>
          <w:rFonts w:asciiTheme="minorEastAsia" w:hAnsiTheme="minorEastAsia"/>
          <w:b/>
          <w:color w:val="0D0D0D"/>
          <w:spacing w:val="2"/>
          <w:sz w:val="28"/>
          <w:szCs w:val="28"/>
        </w:rPr>
      </w:pPr>
      <w:r>
        <w:rPr>
          <w:rFonts w:hint="eastAsia" w:asciiTheme="minorEastAsia" w:hAnsiTheme="minorEastAsia"/>
          <w:b/>
          <w:color w:val="0D0D0D"/>
          <w:spacing w:val="2"/>
          <w:sz w:val="28"/>
          <w:szCs w:val="28"/>
        </w:rPr>
        <w:t>3</w:t>
      </w:r>
      <w:r>
        <w:rPr>
          <w:rFonts w:asciiTheme="minorEastAsia" w:hAnsiTheme="minorEastAsia"/>
          <w:b/>
          <w:color w:val="0D0D0D"/>
          <w:spacing w:val="2"/>
          <w:sz w:val="28"/>
          <w:szCs w:val="28"/>
        </w:rPr>
        <w:t xml:space="preserve">) </w:t>
      </w:r>
      <w:r>
        <w:rPr>
          <w:rFonts w:hint="eastAsia" w:asciiTheme="minorEastAsia" w:hAnsiTheme="minorEastAsia"/>
          <w:b/>
          <w:color w:val="0D0D0D"/>
          <w:spacing w:val="2"/>
          <w:sz w:val="28"/>
          <w:szCs w:val="28"/>
        </w:rPr>
        <w:t>生态环境部南京环境科学研究所，排名3</w:t>
      </w:r>
    </w:p>
    <w:p>
      <w:pPr>
        <w:spacing w:line="360" w:lineRule="auto"/>
        <w:ind w:firstLine="568" w:firstLineChars="200"/>
        <w:rPr>
          <w:rFonts w:asciiTheme="minorEastAsia" w:hAnsiTheme="minorEastAsia"/>
          <w:b/>
          <w:color w:val="0D0D0D"/>
          <w:spacing w:val="2"/>
          <w:sz w:val="28"/>
          <w:szCs w:val="28"/>
        </w:rPr>
      </w:pPr>
      <w:r>
        <w:rPr>
          <w:rFonts w:hint="eastAsia" w:asciiTheme="minorEastAsia" w:hAnsiTheme="minorEastAsia"/>
          <w:color w:val="0D0D0D"/>
          <w:spacing w:val="2"/>
          <w:sz w:val="28"/>
          <w:szCs w:val="28"/>
        </w:rPr>
        <w:t>对本项目的贡献：在项目创新点 1 江苏地区代表性农药的内暴露水平的检测中有创新贡献，已完成的报告为政府制定相关污染物的健康风险控制政策提供参考。</w:t>
      </w:r>
    </w:p>
    <w:p>
      <w:pPr>
        <w:spacing w:line="360" w:lineRule="auto"/>
        <w:ind w:firstLine="570" w:firstLineChars="200"/>
        <w:rPr>
          <w:rFonts w:asciiTheme="minorEastAsia" w:hAnsiTheme="minorEastAsia"/>
          <w:b/>
          <w:color w:val="0D0D0D"/>
          <w:spacing w:val="2"/>
          <w:sz w:val="28"/>
          <w:szCs w:val="28"/>
        </w:rPr>
      </w:pPr>
    </w:p>
    <w:p>
      <w:pPr>
        <w:rPr>
          <w:rFonts w:ascii="仿宋" w:hAnsi="仿宋" w:eastAsia="仿宋"/>
          <w:b/>
          <w:color w:val="000000" w:themeColor="text1"/>
          <w:sz w:val="28"/>
          <w:szCs w:val="28"/>
          <w14:textFill>
            <w14:solidFill>
              <w14:schemeClr w14:val="tx1"/>
            </w14:solidFill>
          </w14:textFill>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ZGRkMzljZDczMmUzN2Q3ZDQ0NDBkMjIzZGVkMGUifQ=="/>
  </w:docVars>
  <w:rsids>
    <w:rsidRoot w:val="00546847"/>
    <w:rsid w:val="00082992"/>
    <w:rsid w:val="00085DB4"/>
    <w:rsid w:val="000C5836"/>
    <w:rsid w:val="000F648F"/>
    <w:rsid w:val="001014FE"/>
    <w:rsid w:val="001577C2"/>
    <w:rsid w:val="0018762C"/>
    <w:rsid w:val="001E7B4B"/>
    <w:rsid w:val="002672F5"/>
    <w:rsid w:val="00297691"/>
    <w:rsid w:val="00304430"/>
    <w:rsid w:val="00331017"/>
    <w:rsid w:val="00392061"/>
    <w:rsid w:val="0047599B"/>
    <w:rsid w:val="004C4B19"/>
    <w:rsid w:val="004F6971"/>
    <w:rsid w:val="005264F7"/>
    <w:rsid w:val="00530DEC"/>
    <w:rsid w:val="00546847"/>
    <w:rsid w:val="005679A9"/>
    <w:rsid w:val="00590FF3"/>
    <w:rsid w:val="0059458A"/>
    <w:rsid w:val="0065061A"/>
    <w:rsid w:val="006B76B8"/>
    <w:rsid w:val="006F46A3"/>
    <w:rsid w:val="00703B16"/>
    <w:rsid w:val="0079750D"/>
    <w:rsid w:val="0079760B"/>
    <w:rsid w:val="007D790F"/>
    <w:rsid w:val="007E06C7"/>
    <w:rsid w:val="0080758D"/>
    <w:rsid w:val="008323B9"/>
    <w:rsid w:val="008D491B"/>
    <w:rsid w:val="008D7830"/>
    <w:rsid w:val="009A6AE7"/>
    <w:rsid w:val="009B0FC5"/>
    <w:rsid w:val="009B2205"/>
    <w:rsid w:val="009B6CCC"/>
    <w:rsid w:val="00A109FE"/>
    <w:rsid w:val="00A6041D"/>
    <w:rsid w:val="00AC0256"/>
    <w:rsid w:val="00B34E00"/>
    <w:rsid w:val="00CC3D30"/>
    <w:rsid w:val="00CD27C1"/>
    <w:rsid w:val="00CF386A"/>
    <w:rsid w:val="00D83821"/>
    <w:rsid w:val="00DE22E4"/>
    <w:rsid w:val="00E02D50"/>
    <w:rsid w:val="00E324E9"/>
    <w:rsid w:val="00EC6D5C"/>
    <w:rsid w:val="00ED3061"/>
    <w:rsid w:val="00EE1844"/>
    <w:rsid w:val="00FB4BA2"/>
    <w:rsid w:val="203A6BAD"/>
    <w:rsid w:val="3CE964DD"/>
    <w:rsid w:val="4C260072"/>
    <w:rsid w:val="4DEF5FA9"/>
    <w:rsid w:val="4FA62D2D"/>
    <w:rsid w:val="5A18014C"/>
    <w:rsid w:val="5DDF755E"/>
    <w:rsid w:val="667F3B83"/>
    <w:rsid w:val="7F5D7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spacing w:beforeLines="100" w:afterLines="50"/>
      <w:jc w:val="center"/>
      <w:outlineLvl w:val="0"/>
    </w:pPr>
    <w:rPr>
      <w:rFonts w:ascii="Times New Roman" w:hAnsi="Times New Roman" w:eastAsia="黑体" w:cs="Times New Roman"/>
      <w:snapToGrid w:val="0"/>
      <w:w w:val="105"/>
      <w:sz w:val="28"/>
      <w:szCs w:val="28"/>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Plain Text"/>
    <w:basedOn w:val="1"/>
    <w:link w:val="13"/>
    <w:qFormat/>
    <w:uiPriority w:val="0"/>
    <w:pPr>
      <w:spacing w:line="360" w:lineRule="auto"/>
      <w:ind w:firstLine="480" w:firstLineChars="200"/>
    </w:pPr>
    <w:rPr>
      <w:rFonts w:ascii="仿宋_GB2312" w:hAnsi="Times New Roman" w:eastAsia="宋体" w:cs="Times New Roman"/>
      <w:sz w:val="24"/>
      <w:szCs w:val="20"/>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标题 1 字符"/>
    <w:basedOn w:val="9"/>
    <w:link w:val="2"/>
    <w:qFormat/>
    <w:uiPriority w:val="0"/>
    <w:rPr>
      <w:rFonts w:ascii="Times New Roman" w:hAnsi="Times New Roman" w:eastAsia="黑体" w:cs="Times New Roman"/>
      <w:snapToGrid w:val="0"/>
      <w:w w:val="105"/>
      <w:sz w:val="28"/>
      <w:szCs w:val="28"/>
    </w:rPr>
  </w:style>
  <w:style w:type="character" w:customStyle="1" w:styleId="13">
    <w:name w:val="纯文本 字符"/>
    <w:basedOn w:val="9"/>
    <w:link w:val="4"/>
    <w:qFormat/>
    <w:uiPriority w:val="0"/>
    <w:rPr>
      <w:rFonts w:ascii="仿宋_GB2312" w:hAnsi="Times New Roman" w:eastAsia="宋体" w:cs="Times New Roman"/>
      <w:sz w:val="24"/>
      <w:szCs w:val="20"/>
    </w:rPr>
  </w:style>
  <w:style w:type="character" w:customStyle="1" w:styleId="14">
    <w:name w:val="标题 2 字符"/>
    <w:basedOn w:val="9"/>
    <w:link w:val="3"/>
    <w:semiHidden/>
    <w:qFormat/>
    <w:uiPriority w:val="9"/>
    <w:rPr>
      <w:rFonts w:asciiTheme="majorHAnsi" w:hAnsiTheme="majorHAnsi" w:eastAsiaTheme="majorEastAsia" w:cstheme="majorBidi"/>
      <w:b/>
      <w:bCs/>
      <w:sz w:val="32"/>
      <w:szCs w:val="32"/>
    </w:rPr>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paragraph" w:customStyle="1" w:styleId="17">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3095</Words>
  <Characters>3875</Characters>
  <Lines>30</Lines>
  <Paragraphs>8</Paragraphs>
  <TotalTime>36</TotalTime>
  <ScaleCrop>false</ScaleCrop>
  <LinksUpToDate>false</LinksUpToDate>
  <CharactersWithSpaces>4152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2022-05-17T01:27:00Z</dcterms:created>
  <dc:creator>297</dc:creator>
  <cp:lastModifiedBy>reset</cp:lastModifiedBy>
  <dcterms:modified xsi:type="dcterms:W3CDTF">2022-05-20T09:42:34Z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258E2531C8D443ED923F89B885BA4923</vt:lpwstr>
  </property>
</Properties>
</file>